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Аналитическая справка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 организации отдыха и оздоровления детей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Няндомском районе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 2021 год.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Организация оздоровительной кампании, обеспечивающая отдых и оздоровление детей в целях укрепления их здоровья, формирование здорового образа жизни, развития творческого потенциала личности ребенка, проходила в соответствии с планом и задачами, поставленными на 2021 год, т. е. обеспечение доступности, эффективности и качества отдыха, создание условий для полноценного, активного отдыха детей, обеспечение их безопасности.</w:t>
      </w:r>
      <w:proofErr w:type="gramEnd"/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уполномоченным органом местного самоуправления на организацию оздоровительной кампании детей в Няндомском районе </w:t>
      </w:r>
      <w:r>
        <w:rPr>
          <w:rFonts w:ascii="Times New Roman" w:hAnsi="Times New Roman" w:cs="Times New Roman"/>
          <w:sz w:val="28"/>
          <w:szCs w:val="28"/>
        </w:rPr>
        <w:br/>
        <w:t xml:space="preserve">является Управление образования. </w:t>
      </w:r>
    </w:p>
    <w:p>
      <w:pPr>
        <w:pStyle w:val="a3"/>
        <w:tabs>
          <w:tab w:val="left" w:pos="1215"/>
        </w:tabs>
        <w:spacing w:before="0" w:beforeAutospacing="0" w:after="0" w:afterAutospacing="0" w:line="276" w:lineRule="auto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Организация оздоровительной кампании в 2021 году осуществляется в соответствии со следующей нормативно-правовой базой: </w:t>
      </w:r>
    </w:p>
    <w:p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Областные  НПА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формы государственной поддержки системы отдыха и оздоровления детей, перечень предоставления мер социальной поддержки в сфере отдыха и оздоровления детей определены областным законом от 30 сентября 2011 года № 326-24-ОЗ «Об организации и обеспечении отдыха, оздоровления и занятости детей».</w:t>
      </w:r>
    </w:p>
    <w:p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организации мероприятий, направленных на отдых, санаторное оздоровление детей, а также основные направления расходования средств областного бюджета определены постановлением Правительства Архангельской области от 21 февраля 2017 года № 85-пп «О мерах по реализации областного закона «Об организации и обеспечении отдыха, оздоровления и занятости детей».</w:t>
      </w:r>
    </w:p>
    <w:p>
      <w:pPr>
        <w:pStyle w:val="a3"/>
        <w:tabs>
          <w:tab w:val="left" w:pos="1215"/>
        </w:tabs>
        <w:spacing w:before="0" w:beforeAutospacing="0" w:after="0" w:afterAutospacing="0" w:line="276" w:lineRule="auto"/>
        <w:jc w:val="both"/>
        <w:textAlignment w:val="top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Размер оплаты стоимости путевок за счет средств областного бюджета определен </w:t>
      </w:r>
      <w:r>
        <w:rPr>
          <w:color w:val="000000"/>
          <w:sz w:val="28"/>
          <w:szCs w:val="28"/>
        </w:rPr>
        <w:t>постановлением Правительства Архангельской области от 7 апреля 2021 года № 175-пп «Об установлении на 2021 год размеров полной или частичной оплаты за счет средств областного бюджета стоимости путевок на санаторно-курортное оздоровление или отдых и оздоровление детей, проезда к месту отдыха и оздоровления детей в составе организованной группы детей и обратно, услуг</w:t>
      </w:r>
      <w:proofErr w:type="gramEnd"/>
      <w:r>
        <w:rPr>
          <w:color w:val="000000"/>
          <w:sz w:val="28"/>
          <w:szCs w:val="28"/>
        </w:rPr>
        <w:t xml:space="preserve"> лиц, сопровождающих детей к месту их санаторно-курортного оздоровления или отдыха и оздоровления в составе организованной группы детей и обратно».</w:t>
      </w:r>
    </w:p>
    <w:p>
      <w:pPr>
        <w:pStyle w:val="a3"/>
        <w:tabs>
          <w:tab w:val="left" w:pos="1215"/>
        </w:tabs>
        <w:spacing w:before="0" w:beforeAutospacing="0" w:after="0" w:afterAutospacing="0" w:line="276" w:lineRule="auto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 В связи со сложившейся эпидемиологической ситуацией в Архангельской области в 2021 году оздоровительные учреждения работают в соответствии с СП 2.4.3648-20 «Санитарно-эпидемиологические требования к организациям воспитания и обучения, отдыха и оздоровления детей и молодежи»; </w:t>
      </w:r>
    </w:p>
    <w:p>
      <w:pPr>
        <w:pStyle w:val="a3"/>
        <w:tabs>
          <w:tab w:val="left" w:pos="1215"/>
        </w:tabs>
        <w:spacing w:before="0" w:beforeAutospacing="0" w:after="0" w:afterAutospacing="0" w:line="276" w:lineRule="auto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СанПиН</w:t>
      </w:r>
      <w:proofErr w:type="spellEnd"/>
      <w:r>
        <w:rPr>
          <w:color w:val="000000"/>
          <w:sz w:val="28"/>
          <w:szCs w:val="28"/>
        </w:rPr>
        <w:t xml:space="preserve"> 2.3/2.4.3590-20 «Санитарно-эпидемиологические требования к организации общественного питания населения»;</w:t>
      </w:r>
    </w:p>
    <w:p>
      <w:pPr>
        <w:pStyle w:val="a3"/>
        <w:tabs>
          <w:tab w:val="left" w:pos="1215"/>
        </w:tabs>
        <w:spacing w:before="0" w:beforeAutospacing="0" w:after="0" w:afterAutospacing="0" w:line="276" w:lineRule="auto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СанПин</w:t>
      </w:r>
      <w:proofErr w:type="spellEnd"/>
      <w:r>
        <w:rPr>
          <w:color w:val="000000"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>
      <w:pPr>
        <w:pStyle w:val="a3"/>
        <w:tabs>
          <w:tab w:val="left" w:pos="1215"/>
        </w:tabs>
        <w:spacing w:before="0" w:beforeAutospacing="0" w:after="0" w:afterAutospacing="0" w:line="276" w:lineRule="auto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color w:val="000000"/>
          <w:sz w:val="28"/>
          <w:szCs w:val="28"/>
        </w:rPr>
        <w:t>короновирусной</w:t>
      </w:r>
      <w:proofErr w:type="spellEnd"/>
      <w:r>
        <w:rPr>
          <w:color w:val="000000"/>
          <w:sz w:val="28"/>
          <w:szCs w:val="28"/>
        </w:rPr>
        <w:t xml:space="preserve"> инфекции (</w:t>
      </w:r>
      <w:r>
        <w:rPr>
          <w:color w:val="000000"/>
          <w:sz w:val="28"/>
          <w:szCs w:val="28"/>
          <w:lang w:val="en-US"/>
        </w:rPr>
        <w:t>COVID</w:t>
      </w:r>
      <w:r>
        <w:rPr>
          <w:color w:val="000000"/>
          <w:sz w:val="28"/>
          <w:szCs w:val="28"/>
        </w:rPr>
        <w:t>-19)».</w:t>
      </w:r>
    </w:p>
    <w:p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i/>
          <w:sz w:val="28"/>
          <w:szCs w:val="28"/>
        </w:rPr>
        <w:t>. Муниципальные НПА</w:t>
      </w:r>
    </w:p>
    <w:p>
      <w:pPr>
        <w:pStyle w:val="a3"/>
        <w:tabs>
          <w:tab w:val="left" w:pos="1215"/>
        </w:tabs>
        <w:spacing w:before="0" w:beforeAutospacing="0" w:after="0" w:afterAutospacing="0" w:line="276" w:lineRule="auto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Муниципальная программа «Организация отдыха и оздоровления детей Няндомского района на 2017 – 2023 годы»,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утвержденная постановлением  администрации муниципального образования «Няндомский муниципальный район» от 28 ноября 2016 года № 1895.</w:t>
      </w:r>
    </w:p>
    <w:p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Постановления администрации Няндомского муниципального района:</w:t>
      </w:r>
    </w:p>
    <w:p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13 апреля 2021 года №85/3-па «О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илу постановления администрации муниципального образования «Няндомский муниципальный район» от 3 марта 2011 года №411;</w:t>
      </w:r>
    </w:p>
    <w:p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 апреля 2021 года №85/2-па «Об определении уполномоченного органа по организации отдыха, оздоровления и занятости детей, проживающих на территории Няндомского муниципального района Архангельской области, в каникулярный период 2021 года;</w:t>
      </w:r>
    </w:p>
    <w:p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 апреля 2021 года №105/1-ра «О создании межведомственной комиссии по обеспечению отдыха, оздоровления и занятости детей, проживающих на территории Няндомского района;</w:t>
      </w:r>
    </w:p>
    <w:p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 апреля 2021 года №85/1-па «Об утверждении Положения о межведомственной комиссии по обеспечению отдыха, оздоровления и занятости детей, проживающих на территории Няндомского района;</w:t>
      </w:r>
    </w:p>
    <w:p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 апреля 2021 года №85/4-па «Об утверждении порядка расходования средств областного и местного бюджетов на реализацию мероприятий по организации отдыха и оздоровления детей, проживающих на территории Няндомского района, в каникулярный период 2021 года.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Организация отдыха и оздоровления осуществлялась по двум направлениям: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1.Организация отдыха детей и подростков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загородных стационарных оздоровительных  лагерях.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Летний отдых детей и их оздоровление организован с учетом эпидемиологической ситуации в субъекте РФ по месту отправления и прибытия детей в соответствии с СП 3.1/2.4.3598-20 «Санитарно-эпидемиологическими требованиями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-19) с изменениями от 24.03.2021 года:</w:t>
      </w:r>
      <w:proofErr w:type="gramEnd"/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организациях отдыха с круглосуточным пребыванием, смены комплектуются с учетом не более 75% наполняемости от проектной вместимости;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перед началом каждой смены персонал проходит обследование на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 xml:space="preserve">-19 любым из методов, а также работники пищеблоков проходят обследования на наличие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, рота- и других вирусных возбудителей кишечных инфекций не ранее, чем за 3 календарных дня до выхода на работу;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заезд (выезд) всех детей и сотрудников в организации отдыха детей и их оздоровления осуществляется одновременно на весь период смены с перерывом между сменами не менее 2 календарных дней;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выход (выезд) детей, а также персонала (при проживании персонала на территории организации отдыха детей и их оздоровления) за пределы организации отдыха детей и их оздоровления в период смены не допускается;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организациях отдыха детей и их оздоровления с круглосуточным пребыванием на весь период смены должно быть обеспечено круглосуточное нахождение медицинских работников;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детей в организации отдыха детей и их оздоровления осуществляется при наличии медицинской справки о состоянии здоровья ребенка, отъезжающего в организацию отдыха детей и их оздоровления (учетная форма №079/у);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мероприятий с участием детей должно быть организовано преимущественно на открытом воздухе с учетом погодных условий;</w:t>
      </w:r>
    </w:p>
    <w:p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запрещается проведение массовых мероприятий в закрытых помещениях, а также мероприятий с посещением родителей.</w:t>
      </w:r>
    </w:p>
    <w:p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период проведения летней кампании в уполномоченный орган поступило  249 заявлений (2018 г. – 287; 2019 г. – 289; в 2020 году летняя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кампания не проводилась в связи с эпидемиологической ситуацией в РФ) от родителей (законных представителей) детей школьного возраста на получение сертификатов на оплату путёвок на отдых и оздоровление в загородные стационарные оздоровительные лагеря. </w:t>
      </w:r>
      <w:proofErr w:type="gramEnd"/>
    </w:p>
    <w:p>
      <w:pPr>
        <w:spacing w:after="0"/>
        <w:ind w:firstLine="360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>
      <w:pPr>
        <w:spacing w:after="0"/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Размеры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выплат за счет средств областного бюджета на компенсацию стоимости путевок в детские оздоровительные лагеря следующие:</w:t>
      </w:r>
    </w:p>
    <w:p>
      <w:pPr>
        <w:spacing w:after="0"/>
        <w:ind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 За счет средств областного бюджета единовременная оплата (компенсация стоимости) путевок осуществляется в стационарные организации отдыха детей и их оздоровления с круглосуточным пребыванием детей,  расположенные на территории Архангельской области:</w:t>
      </w:r>
    </w:p>
    <w:p>
      <w:pPr>
        <w:pStyle w:val="Default"/>
        <w:spacing w:line="276" w:lineRule="auto"/>
        <w:jc w:val="both"/>
        <w:rPr>
          <w:i/>
          <w:sz w:val="28"/>
          <w:szCs w:val="28"/>
        </w:rPr>
      </w:pPr>
    </w:p>
    <w:p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- 1136 рублей за один день пребывания, но не более 23 856 рублей за смену для детей, находящихся в трудной жизненной ситуации;</w:t>
      </w:r>
    </w:p>
    <w:p>
      <w:pPr>
        <w:pStyle w:val="Default"/>
        <w:spacing w:line="276" w:lineRule="auto"/>
        <w:jc w:val="both"/>
        <w:rPr>
          <w:sz w:val="28"/>
          <w:szCs w:val="28"/>
        </w:rPr>
      </w:pPr>
    </w:p>
    <w:p>
      <w:pPr>
        <w:pStyle w:val="Default"/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- 796 рублей за один день пребывания, но не более 16 716 рублей за смену - для детей из многодетных семей,  победители и призеры олимпиад и иных конкурсных мероприятий (по итогам прошедшего учебного года), перечень которых утвержден распоряжением Правительства Архангельской области, детям из семей, в которых совокупный доход на одного члена семьи не превышает двух величин прожиточного минимума на душу населения, установленного</w:t>
      </w:r>
      <w:proofErr w:type="gramEnd"/>
      <w:r>
        <w:rPr>
          <w:sz w:val="28"/>
          <w:szCs w:val="28"/>
        </w:rPr>
        <w:t xml:space="preserve"> постановлением Правительства Архангельской области;</w:t>
      </w:r>
    </w:p>
    <w:p>
      <w:pPr>
        <w:pStyle w:val="Default"/>
        <w:spacing w:line="276" w:lineRule="auto"/>
        <w:jc w:val="both"/>
        <w:rPr>
          <w:sz w:val="28"/>
          <w:szCs w:val="28"/>
        </w:rPr>
      </w:pPr>
    </w:p>
    <w:p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- 796 рублей за один день пребывания, но не более 16 716 рублей за смену  -  для детей из семей, не входящих в вышеперечисленные категории.</w:t>
      </w:r>
      <w:r>
        <w:rPr>
          <w:b/>
          <w:bCs/>
          <w:sz w:val="28"/>
          <w:szCs w:val="28"/>
        </w:rPr>
        <w:tab/>
      </w:r>
    </w:p>
    <w:p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2) З</w:t>
      </w:r>
      <w:r>
        <w:rPr>
          <w:sz w:val="28"/>
          <w:szCs w:val="28"/>
        </w:rPr>
        <w:t>а счет средств областного бюджета единовременная оплата (компенсация стоимости) путевок осуществляется в стационарные организации отдыха детей и их оздоровления с круглосуточным пребыванием детей, расположенные за пределами Архангельской области:</w:t>
      </w:r>
    </w:p>
    <w:p>
      <w:pPr>
        <w:pStyle w:val="Default"/>
        <w:spacing w:line="276" w:lineRule="auto"/>
        <w:jc w:val="both"/>
        <w:rPr>
          <w:sz w:val="28"/>
          <w:szCs w:val="28"/>
        </w:rPr>
      </w:pPr>
    </w:p>
    <w:p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- 1045 рублей за один день пребывания, но не более 21 945 рублей за смену – для детей, находящихся в трудной жизненной ситуации;</w:t>
      </w:r>
    </w:p>
    <w:p>
      <w:pPr>
        <w:pStyle w:val="Default"/>
        <w:spacing w:line="276" w:lineRule="auto"/>
        <w:jc w:val="both"/>
        <w:rPr>
          <w:sz w:val="28"/>
          <w:szCs w:val="28"/>
        </w:rPr>
      </w:pPr>
    </w:p>
    <w:p>
      <w:pPr>
        <w:pStyle w:val="Default"/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- 732 рубля за один день пребывания, но не более 15 372 рублей за смену для детей из многодетных семей,  победители и призеры олимпиад и иных конкурсных мероприятий (по итогам прошедшего учебного года), перечень которых утвержден распоряжением Правительства Архангельской области, </w:t>
      </w:r>
      <w:r>
        <w:rPr>
          <w:sz w:val="28"/>
          <w:szCs w:val="28"/>
        </w:rPr>
        <w:lastRenderedPageBreak/>
        <w:t>детям из семей, в которых совокупный доход на одного члена семьи не превышает двух величин прожиточного минимума на душу населения, установленного</w:t>
      </w:r>
      <w:proofErr w:type="gramEnd"/>
      <w:r>
        <w:rPr>
          <w:sz w:val="28"/>
          <w:szCs w:val="28"/>
        </w:rPr>
        <w:t xml:space="preserve"> постановлением Правительства Архангельской области;</w:t>
      </w:r>
    </w:p>
    <w:p>
      <w:pPr>
        <w:pStyle w:val="Default"/>
        <w:spacing w:line="276" w:lineRule="auto"/>
        <w:jc w:val="both"/>
        <w:rPr>
          <w:sz w:val="28"/>
          <w:szCs w:val="28"/>
        </w:rPr>
      </w:pPr>
    </w:p>
    <w:p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627 рублей за один день пребывания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но не более 13 167 рублей за смену -  для детей из семей, не входящих в вышеперечисленные категории.</w:t>
      </w:r>
    </w:p>
    <w:p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</w:t>
      </w:r>
      <w:r>
        <w:rPr>
          <w:rFonts w:ascii="Times New Roman" w:eastAsia="Calibri" w:hAnsi="Times New Roman" w:cs="Times New Roman"/>
          <w:sz w:val="28"/>
          <w:szCs w:val="28"/>
        </w:rPr>
        <w:t>азмеры полной или частичной оплаты за счет средств областного бюджета стоимости проезда к месту отдыха и оздоровления детей, находящихся в трудной жизненной ситуации, в составе организованной группы и обратно: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в организации отдыха и оздоровления детей, расположенные на территории Архангельской области, – до 100 процентов стоимости проездных документов (билетов), приобретенных для проезда ребенка в составе организованной группы, к месту отдыха и обратно, но не более 904 рублей;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в организации отдыха и оздоровления детей, расположенные за пределами Архангельской области, – до 100 процентов стоимости проездных документов (билетов), приобретенных для проезда ребенка в составе организованной группы, к месту отдыха и обратно, но не более 2261 рубля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 С</w:t>
      </w:r>
      <w:r>
        <w:rPr>
          <w:rFonts w:ascii="Times New Roman" w:eastAsia="Calibri" w:hAnsi="Times New Roman" w:cs="Times New Roman"/>
          <w:sz w:val="28"/>
          <w:szCs w:val="28"/>
        </w:rPr>
        <w:t>тоимость услуг лиц, сопровождающих детей, находящихся в трудной жизненной ситуации, к месту их отдыха и оздоровления и обратно в составе организованной группы детей, оплачивается за счет средств областного бюджета в следующих размерах: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в организации отдыха и оздоровления детей, расположенные на территории Архангельской области, – в размере 100 процентов стоимости услуг лиц, сопровождающих детей в составе организованной группы к месту отдыха и оздоровления и обратно, но не более 485 рублей;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в организации отдыха и оздоровления детей, расположенные за пределами Архангельской области, – в размере 100 процентов стоимости услуг лиц, сопровождающих детей в составе организованной группы к месту отдыха и оздоровления и обратно, но не более 1290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 Квоты на предоставление сертификатов</w:t>
      </w:r>
      <w:r>
        <w:rPr>
          <w:sz w:val="28"/>
          <w:szCs w:val="28"/>
          <w:lang w:val="en-US"/>
        </w:rPr>
        <w:t>  </w:t>
      </w:r>
      <w:r>
        <w:rPr>
          <w:sz w:val="28"/>
          <w:szCs w:val="28"/>
        </w:rPr>
        <w:t>в организации отдыха детей и их оздоровления, расположенные на территории Архангельской области и за ее пределами следующие:</w:t>
      </w:r>
    </w:p>
    <w:p>
      <w:pPr>
        <w:pStyle w:val="Default"/>
        <w:spacing w:line="276" w:lineRule="auto"/>
        <w:jc w:val="both"/>
        <w:rPr>
          <w:i/>
          <w:sz w:val="28"/>
          <w:szCs w:val="28"/>
        </w:rPr>
      </w:pPr>
    </w:p>
    <w:p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 территории Архангельской области для категории ТЖС – 48 шт., для льготной/</w:t>
      </w:r>
      <w:proofErr w:type="spellStart"/>
      <w:r>
        <w:rPr>
          <w:sz w:val="28"/>
          <w:szCs w:val="28"/>
        </w:rPr>
        <w:t>нельготной</w:t>
      </w:r>
      <w:proofErr w:type="spellEnd"/>
      <w:r>
        <w:rPr>
          <w:sz w:val="28"/>
          <w:szCs w:val="28"/>
        </w:rPr>
        <w:t xml:space="preserve"> категории – 185 шт.;</w:t>
      </w:r>
    </w:p>
    <w:p>
      <w:pPr>
        <w:pStyle w:val="Default"/>
        <w:spacing w:line="276" w:lineRule="auto"/>
        <w:jc w:val="both"/>
        <w:rPr>
          <w:sz w:val="28"/>
          <w:szCs w:val="28"/>
        </w:rPr>
      </w:pPr>
    </w:p>
    <w:p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пределами Архангельской области для категории ТЖС – 3 шт., для льготной категории – 10 шт., для </w:t>
      </w:r>
      <w:proofErr w:type="spellStart"/>
      <w:r>
        <w:rPr>
          <w:sz w:val="28"/>
          <w:szCs w:val="28"/>
        </w:rPr>
        <w:t>нельготной</w:t>
      </w:r>
      <w:proofErr w:type="spellEnd"/>
      <w:r>
        <w:rPr>
          <w:sz w:val="28"/>
          <w:szCs w:val="28"/>
        </w:rPr>
        <w:t xml:space="preserve"> категории – 17 шт.</w:t>
      </w:r>
    </w:p>
    <w:p>
      <w:pPr>
        <w:pStyle w:val="Default"/>
        <w:spacing w:line="276" w:lineRule="auto"/>
        <w:jc w:val="both"/>
        <w:rPr>
          <w:sz w:val="28"/>
          <w:szCs w:val="28"/>
        </w:rPr>
      </w:pPr>
    </w:p>
    <w:p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6) Квоты на предоставление сертификатов на оплату стоимости проезда детей и оплаты услуг сопровождающего для детей категории ТЖС:</w:t>
      </w:r>
    </w:p>
    <w:p>
      <w:pPr>
        <w:pStyle w:val="Default"/>
        <w:spacing w:line="276" w:lineRule="auto"/>
        <w:jc w:val="both"/>
        <w:rPr>
          <w:sz w:val="28"/>
          <w:szCs w:val="28"/>
        </w:rPr>
      </w:pPr>
    </w:p>
    <w:p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территории Архангельской области – 5 шт.;</w:t>
      </w:r>
    </w:p>
    <w:p>
      <w:pPr>
        <w:pStyle w:val="Default"/>
        <w:spacing w:line="276" w:lineRule="auto"/>
        <w:jc w:val="both"/>
        <w:rPr>
          <w:sz w:val="28"/>
          <w:szCs w:val="28"/>
        </w:rPr>
      </w:pPr>
    </w:p>
    <w:p>
      <w:pPr>
        <w:pStyle w:val="Default"/>
        <w:spacing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- за пределами Архангельской области – 8 шт.</w:t>
      </w:r>
    </w:p>
    <w:p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летней кампании 2021 года дети, проживающие на территории Няндомского района, отдохнули в следующих лагерях Архангельской области и за ее пределами: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ДОЛ «Северный Артек» (Холмогорский район) – 1 чел.;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ДОЛ «Буревестник»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Плесецкий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район) – 1 чел.;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Ватса-Парк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Котласский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район) – 1 чел.;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ДОЛ «Звездочка-Юг» (Анапа) – 18 чел.;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ЗАО «Санаторий «Жемчужина моря» (Геленджик) – 2 чел.;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ООО «ДОЛП им. А.В.Казакевича» (Бахчисарайский район) – 1 чел.;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ООО «ДЗОО «Автомобилист» (Крым) – 23 чел.;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ГАУЗ ЯО «Санаторий-профилакторий «Сосновый бор» (Ярославская область) – 1 чел.;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 ООО «ДОЛ Ласковый берег» (Краснодарский край) – 1 чел.;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ДЗСОЛ «Боровое» (Няндомский район) – 192 чел.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хотелось бы отметить, что ежегодно инициативные педагоги набирают группы детей и вывозят их отдыхать в южные регионы. В этом году такую группу организовал педагог из СП «Средняя школа №6» МБОУ «Средняя школа №3» Соколова Лариса Викторовна. Дети в составе организованной группы из 18 человек отдыхали  в ДОЛ «Звездочка-Юг», расположенном в Краснодарском крае с 18.07.21 по 07.08.21 г.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 детских оздоровительных лагерях на территории Архангельской области отдохнули  46  детей из семей, находящихся в трудной жизненной ситуации, в т.ч. 5 детей, отдохнули в лагерях за пределами Архангельской области и им же были предоставлены сертификаты на оплату стоимости проезда и сопровождения детей в составе организованной группы к месту их отдыха и обратно.</w:t>
      </w:r>
      <w:proofErr w:type="gramEnd"/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на базе структурного подразделения МАУ ДО «Районный центр дополнительного образования детей» была организована работа летнего загородного оздоровительного лагеря «</w:t>
      </w:r>
      <w:proofErr w:type="gramStart"/>
      <w:r>
        <w:rPr>
          <w:rFonts w:ascii="Times New Roman" w:hAnsi="Times New Roman" w:cs="Times New Roman"/>
          <w:sz w:val="28"/>
          <w:szCs w:val="28"/>
        </w:rPr>
        <w:t>Боровое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эпидемиологической ситуацией в организациях отдыха с круглосуточным пребыванием, смены комплектовались с учетом не более 75% наполняемости от проектной вместимости. Таким образом, за лето в лагере «Боровое» оздоровилось 192 человека (2018 г. – 256 чел.; 2019 г. – 256 чел.; 2020 г. – лагерь не функционировал, в связи с эпидемиологической ситуацией в РФ), из них 41 ребенок из семей, находящихся в трудной жизненной ситуации.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смена «В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>» – 04.06. по 21.06 – 48 человек;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смена «Хореографическая» – 25.06. по 12.07 – 48 человек;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смена «Туристическая» – 16.07. по 02.08 – 48 человек;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смена «Спортивная» – 06.08. по 23.08 – 48 человек.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путевки на любую смену продолжительностью 18 дней составляла 23400 руб.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 сообщаем, что из местного бюджета на укрепление материально-технической базы лагеря  было выделено и освоено 875,0 тыс. рублей. </w:t>
      </w:r>
    </w:p>
    <w:p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МАУ ДО «РЦДО» подал документы на участие в конкурсе на право получения субсидии (грантов в форме субсидии) на укрепление материально-технической базы организаций отдыха детей и их оздоровления, который будет проходить осенью 2021 года.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работы лагерей с дневным пребыванием детей.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весенних каникул работа лагерей с дневным пребыванием детей не проводилась. 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лагерей с дневным пребыванием детей была организована в период </w:t>
      </w:r>
      <w:r>
        <w:rPr>
          <w:rFonts w:ascii="Times New Roman" w:hAnsi="Times New Roman" w:cs="Times New Roman"/>
          <w:b/>
          <w:i/>
          <w:sz w:val="28"/>
          <w:szCs w:val="28"/>
        </w:rPr>
        <w:t>летних</w:t>
      </w:r>
      <w:r>
        <w:rPr>
          <w:rFonts w:ascii="Times New Roman" w:hAnsi="Times New Roman" w:cs="Times New Roman"/>
          <w:sz w:val="28"/>
          <w:szCs w:val="28"/>
        </w:rPr>
        <w:t xml:space="preserve"> каникул на базе следующих образовательных организаций: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6415"/>
        <w:gridCol w:w="3366"/>
      </w:tblGrid>
      <w:tr>
        <w:tc>
          <w:tcPr>
            <w:tcW w:w="64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lastRenderedPageBreak/>
              <w:t>Образовательная организация</w:t>
            </w:r>
          </w:p>
        </w:tc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Лето</w:t>
            </w:r>
          </w:p>
        </w:tc>
      </w:tr>
      <w:tr>
        <w:tc>
          <w:tcPr>
            <w:tcW w:w="64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Всего человек</w:t>
            </w:r>
          </w:p>
        </w:tc>
      </w:tr>
      <w:tr>
        <w:tc>
          <w:tcPr>
            <w:tcW w:w="6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gramStart"/>
            <w:r>
              <w:rPr>
                <w:sz w:val="24"/>
                <w:szCs w:val="24"/>
              </w:rPr>
              <w:t>Средняя</w:t>
            </w:r>
            <w:proofErr w:type="gramEnd"/>
            <w:r>
              <w:rPr>
                <w:sz w:val="24"/>
                <w:szCs w:val="24"/>
              </w:rPr>
              <w:t xml:space="preserve"> школа № 2 города Няндома»</w:t>
            </w:r>
          </w:p>
          <w:p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ОСП «</w:t>
            </w:r>
            <w:proofErr w:type="spellStart"/>
            <w:r>
              <w:rPr>
                <w:sz w:val="24"/>
                <w:szCs w:val="24"/>
              </w:rPr>
              <w:t>Шестиозерская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основная</w:t>
            </w:r>
            <w:proofErr w:type="gramEnd"/>
            <w:r>
              <w:rPr>
                <w:sz w:val="24"/>
                <w:szCs w:val="24"/>
              </w:rPr>
              <w:t xml:space="preserve"> школа» МБОУ  «Средняя школа № 2 города Няндома»</w:t>
            </w:r>
          </w:p>
          <w:p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ОСП «</w:t>
            </w:r>
            <w:proofErr w:type="spellStart"/>
            <w:r>
              <w:rPr>
                <w:sz w:val="24"/>
                <w:szCs w:val="24"/>
              </w:rPr>
              <w:t>Бурачихинская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основная</w:t>
            </w:r>
            <w:proofErr w:type="gramEnd"/>
            <w:r>
              <w:rPr>
                <w:sz w:val="24"/>
                <w:szCs w:val="24"/>
              </w:rPr>
              <w:t xml:space="preserve">  школа» МБОУ  «Средняя школа № 2 города Няндома»</w:t>
            </w:r>
          </w:p>
          <w:p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ОСП «Основная школа №4» МБОУ «Средняя школа №2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яндома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272</w:t>
            </w:r>
          </w:p>
        </w:tc>
      </w:tr>
      <w:tr>
        <w:tc>
          <w:tcPr>
            <w:tcW w:w="6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gramStart"/>
            <w:r>
              <w:rPr>
                <w:sz w:val="24"/>
                <w:szCs w:val="24"/>
              </w:rPr>
              <w:t>Средняя</w:t>
            </w:r>
            <w:proofErr w:type="gramEnd"/>
            <w:r>
              <w:rPr>
                <w:sz w:val="24"/>
                <w:szCs w:val="24"/>
              </w:rPr>
              <w:t xml:space="preserve"> школа № 3 города Няндома»</w:t>
            </w:r>
          </w:p>
          <w:p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 «Андреевская начальная </w:t>
            </w:r>
            <w:proofErr w:type="spellStart"/>
            <w:proofErr w:type="gramStart"/>
            <w:r>
              <w:rPr>
                <w:sz w:val="24"/>
                <w:szCs w:val="24"/>
              </w:rPr>
              <w:t>школа-детский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сад» МБОУ  «Средняя школа № 3 города Няндома»</w:t>
            </w:r>
          </w:p>
          <w:p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«</w:t>
            </w:r>
            <w:proofErr w:type="gramStart"/>
            <w:r>
              <w:rPr>
                <w:sz w:val="24"/>
                <w:szCs w:val="24"/>
              </w:rPr>
              <w:t>Средняя</w:t>
            </w:r>
            <w:proofErr w:type="gramEnd"/>
            <w:r>
              <w:rPr>
                <w:sz w:val="24"/>
                <w:szCs w:val="24"/>
              </w:rPr>
              <w:t xml:space="preserve"> школа № 6 города Няндома» МБОУ «СШ №3»</w:t>
            </w:r>
          </w:p>
          <w:p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389</w:t>
            </w:r>
          </w:p>
        </w:tc>
      </w:tr>
      <w:tr>
        <w:tc>
          <w:tcPr>
            <w:tcW w:w="6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gramStart"/>
            <w:r>
              <w:rPr>
                <w:sz w:val="24"/>
                <w:szCs w:val="24"/>
              </w:rPr>
              <w:t>Средняя</w:t>
            </w:r>
            <w:proofErr w:type="gramEnd"/>
            <w:r>
              <w:rPr>
                <w:sz w:val="24"/>
                <w:szCs w:val="24"/>
              </w:rPr>
              <w:t xml:space="preserve"> школа № 7 города Няндома»</w:t>
            </w:r>
          </w:p>
          <w:p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>
        <w:tc>
          <w:tcPr>
            <w:tcW w:w="6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Лепшинская</w:t>
            </w:r>
            <w:proofErr w:type="spellEnd"/>
            <w:r>
              <w:rPr>
                <w:sz w:val="24"/>
                <w:szCs w:val="24"/>
              </w:rPr>
              <w:t xml:space="preserve"> средняя школа»</w:t>
            </w:r>
          </w:p>
          <w:p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>
        <w:tc>
          <w:tcPr>
            <w:tcW w:w="6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ОСП «</w:t>
            </w:r>
            <w:proofErr w:type="spellStart"/>
            <w:r>
              <w:rPr>
                <w:sz w:val="24"/>
                <w:szCs w:val="24"/>
              </w:rPr>
              <w:t>Воезерская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основная</w:t>
            </w:r>
            <w:proofErr w:type="gramEnd"/>
            <w:r>
              <w:rPr>
                <w:sz w:val="24"/>
                <w:szCs w:val="24"/>
              </w:rPr>
              <w:t xml:space="preserve"> школа» МБОУ «</w:t>
            </w:r>
            <w:proofErr w:type="spellStart"/>
            <w:r>
              <w:rPr>
                <w:sz w:val="24"/>
                <w:szCs w:val="24"/>
              </w:rPr>
              <w:t>Мошинская</w:t>
            </w:r>
            <w:proofErr w:type="spellEnd"/>
            <w:r>
              <w:rPr>
                <w:sz w:val="24"/>
                <w:szCs w:val="24"/>
              </w:rPr>
              <w:t xml:space="preserve"> средняя школа»</w:t>
            </w:r>
          </w:p>
          <w:p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>
        <w:tc>
          <w:tcPr>
            <w:tcW w:w="6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gramStart"/>
            <w:r>
              <w:rPr>
                <w:sz w:val="24"/>
                <w:szCs w:val="24"/>
              </w:rPr>
              <w:t>Вечерняя</w:t>
            </w:r>
            <w:proofErr w:type="gramEnd"/>
            <w:r>
              <w:rPr>
                <w:sz w:val="24"/>
                <w:szCs w:val="24"/>
              </w:rPr>
              <w:t xml:space="preserve"> (сменная) школа № 5 города Няндома»</w:t>
            </w:r>
          </w:p>
          <w:p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>
        <w:tc>
          <w:tcPr>
            <w:tcW w:w="6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968</w:t>
            </w:r>
          </w:p>
        </w:tc>
      </w:tr>
    </w:tbl>
    <w:p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Данным видом отдыха охвачено 968 человек (2018 г. – 1090 чел.; 2019 г. – 999 чел.; 2020 г. – оздоровительная кампания не проводилась, в связи с эпидемиологической ситуацией в РФ), из них:</w:t>
      </w:r>
    </w:p>
    <w:p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229" w:type="dxa"/>
        <w:tblInd w:w="93" w:type="dxa"/>
        <w:tblLook w:val="04A0"/>
      </w:tblPr>
      <w:tblGrid>
        <w:gridCol w:w="7670"/>
        <w:gridCol w:w="1559"/>
      </w:tblGrid>
      <w:tr>
        <w:trPr>
          <w:trHeight w:val="52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Категория детей</w:t>
            </w:r>
          </w:p>
          <w:p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(чел.)</w:t>
            </w:r>
          </w:p>
        </w:tc>
      </w:tr>
      <w:tr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оздоровлено детей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968</w:t>
            </w:r>
          </w:p>
        </w:tc>
      </w:tr>
      <w:tr>
        <w:trPr>
          <w:trHeight w:val="287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Дети, находящиеся в трудной жизненной ситуации 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</w:tr>
      <w:tr>
        <w:trPr>
          <w:trHeight w:val="226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 дети с ограниченными возможностями здоровья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</w:tr>
      <w:tr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 дети-инвалиды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>
        <w:trPr>
          <w:trHeight w:val="376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 дети-сироты, дети, оставшиеся без попечения родителей; дети-сироты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>
        <w:trPr>
          <w:trHeight w:val="281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 дети, воспитывающиеся  в малоимущих семьях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</w:tr>
      <w:tr>
        <w:trPr>
          <w:trHeight w:val="272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 дети, состоящие на профилактических учётах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>
        <w:trPr>
          <w:trHeight w:val="40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Дети из многодетных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</w:tr>
      <w:tr>
        <w:trPr>
          <w:trHeight w:val="39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 Дети-победители и призеры олимпиад и иных конкурсных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</w:tr>
      <w:tr>
        <w:trPr>
          <w:trHeight w:val="516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Другие категории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455</w:t>
            </w:r>
          </w:p>
        </w:tc>
      </w:tr>
    </w:tbl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полной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оплаты стоимости набора продуктов питания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оздоровительных лагерях с дневным пребыванием детей составил 148,85 рублей за один день пребывания для всех категорий детей (2018 г. – 137 руб.; 2019 г. – 143,40 руб.; 2020 г. – оздоровительная кампания не проводилась, в связи с эпидемиологической ситуацией в РФ).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летние каникулы продолжительность работы лагеря с дневным пребыванием составила 18 дней.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на оплату стоимости набора продуктов питания в лагерях с дневным пребыванием из областного бюджета выделено 2 702,2 тыс. рублей, из них освоено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2 576,1 тыс. рублей. В связи с тем, что не были организованы весенние каникулы и планируются осенние каникулы, остался неизрасходованный остаток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>
        <w:rPr>
          <w:rFonts w:ascii="Times New Roman" w:hAnsi="Times New Roman" w:cs="Times New Roman"/>
          <w:sz w:val="28"/>
          <w:szCs w:val="28"/>
        </w:rPr>
        <w:t>умме 126,1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 Из местного бюджета на данные цели финансирование не было предусмотрено.</w:t>
      </w:r>
    </w:p>
    <w:p>
      <w:pPr>
        <w:pStyle w:val="2"/>
        <w:spacing w:line="276" w:lineRule="auto"/>
        <w:ind w:firstLine="708"/>
        <w:rPr>
          <w:szCs w:val="28"/>
        </w:rPr>
      </w:pPr>
      <w:r>
        <w:rPr>
          <w:szCs w:val="28"/>
        </w:rPr>
        <w:t xml:space="preserve">Все лагеря были включены в реестр организаций отдыха детей и их оздоровления Архангельской области, утвержденный Министерством труда, занятости и социального развития Архангельской области, а также имеют санитарно-эпидемиологические заключения органов Роспотребнадзора на соответствие санитарным нормам и правилам. </w:t>
      </w:r>
    </w:p>
    <w:p>
      <w:pPr>
        <w:pStyle w:val="2"/>
        <w:spacing w:line="276" w:lineRule="auto"/>
        <w:ind w:firstLine="708"/>
        <w:rPr>
          <w:szCs w:val="28"/>
        </w:rPr>
      </w:pPr>
      <w:r>
        <w:rPr>
          <w:szCs w:val="28"/>
        </w:rPr>
        <w:t>На основании вышеизложенного, работу летней оздоровительной кампании 2021 года можно считать удовлетворительной.</w:t>
      </w:r>
    </w:p>
    <w:p>
      <w:pPr>
        <w:pStyle w:val="2"/>
        <w:spacing w:line="276" w:lineRule="auto"/>
        <w:ind w:firstLine="708"/>
        <w:jc w:val="center"/>
        <w:rPr>
          <w:b/>
          <w:szCs w:val="28"/>
        </w:rPr>
      </w:pPr>
      <w:r>
        <w:rPr>
          <w:b/>
          <w:szCs w:val="28"/>
        </w:rPr>
        <w:t>Осенняя оздоровительная кампания.</w:t>
      </w:r>
    </w:p>
    <w:p>
      <w:pPr>
        <w:pStyle w:val="2"/>
        <w:spacing w:line="276" w:lineRule="auto"/>
        <w:ind w:firstLine="708"/>
        <w:rPr>
          <w:szCs w:val="28"/>
        </w:rPr>
      </w:pPr>
      <w:r>
        <w:rPr>
          <w:szCs w:val="28"/>
        </w:rPr>
        <w:t xml:space="preserve">Кроме этого обращаем Ваше внимание на то, что в министерство труда, занятости и социального развития была направлена информация о предварительной заявочной кампании на 2021 год. Прогнозная численность детей, планируемых к оздоровлению в лагерях с дневным пребыванием детей, была заявлена 1300  человек, из них в летний период – 970 человек, а в осенний период – 330 человек. В связи с тем, что в летний период оздоровили всего 968 детей, то соответственно осенью нужно оздоровить 332 ребенка. 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просим своевременно начать подготовку к оздоровительной кампании в период осенних каникул. Для этого необходимо обеспечить заблаговременное получение санитарно-эпидемиологических заключений на деятельность организаций отдыха детей и их оздоровления, чтобы лагеря с дневным пребыванием детей начали свою работу в срок. И план по оздоровлению детей на 2021 год будет выполнен полностью.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07561"/>
    <w:multiLevelType w:val="hybridMultilevel"/>
    <w:tmpl w:val="BD643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3B597D"/>
    <w:multiLevelType w:val="hybridMultilevel"/>
    <w:tmpl w:val="A6CA0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1"/>
    <w:unhideWhenUsed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</w:style>
  <w:style w:type="character" w:customStyle="1" w:styleId="21">
    <w:name w:val="Основной текст 2 Знак1"/>
    <w:basedOn w:val="a0"/>
    <w:link w:val="2"/>
    <w:locked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2635</Words>
  <Characters>15021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2021-08-31T07:29:00Z</dcterms:created>
  <dcterms:modified xsi:type="dcterms:W3CDTF">2021-08-31T12:49:00Z</dcterms:modified>
</cp:coreProperties>
</file>